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7883" w14:textId="77777777" w:rsidR="009D7B42" w:rsidRPr="000B0994" w:rsidRDefault="00A03B79" w:rsidP="00116AF2">
      <w:pPr>
        <w:pStyle w:val="Title"/>
        <w:jc w:val="center"/>
        <w:rPr>
          <w:rFonts w:ascii="Cambria" w:eastAsia="Trebuchet MS" w:hAnsi="Cambria" w:cs="Tahoma"/>
          <w:color w:val="9D360E" w:themeColor="text2"/>
          <w:sz w:val="56"/>
          <w:lang w:val="en-US"/>
          <w14:shadow w14:blurRad="50800" w14:dist="38100" w14:dir="5400000" w14:sx="100000" w14:sy="100000" w14:kx="0" w14:ky="0" w14:algn="t">
            <w14:srgbClr w14:val="000000">
              <w14:alpha w14:val="60000"/>
            </w14:srgbClr>
          </w14:shadow>
        </w:rPr>
      </w:pPr>
      <w:r w:rsidRPr="000B0994">
        <w:rPr>
          <w:rFonts w:ascii="Cambria" w:eastAsia="Trebuchet MS" w:hAnsi="Cambria" w:cs="Tahoma"/>
          <w:noProof/>
          <w:color w:val="000000"/>
          <w:sz w:val="24"/>
          <w:lang w:val="en-US"/>
        </w:rPr>
        <mc:AlternateContent>
          <mc:Choice Requires="wps">
            <w:drawing>
              <wp:anchor distT="0" distB="0" distL="114300" distR="114300" simplePos="0" relativeHeight="251662336" behindDoc="0" locked="0" layoutInCell="1" allowOverlap="1" wp14:anchorId="2CAD5C06" wp14:editId="11B00B6E">
                <wp:simplePos x="0" y="0"/>
                <wp:positionH relativeFrom="margin">
                  <wp:posOffset>2794635</wp:posOffset>
                </wp:positionH>
                <wp:positionV relativeFrom="paragraph">
                  <wp:posOffset>116840</wp:posOffset>
                </wp:positionV>
                <wp:extent cx="60144" cy="8705850"/>
                <wp:effectExtent l="0" t="0" r="41910" b="31750"/>
                <wp:wrapNone/>
                <wp:docPr id="9" name="Straight Connector 9"/>
                <wp:cNvGraphicFramePr/>
                <a:graphic xmlns:a="http://schemas.openxmlformats.org/drawingml/2006/main">
                  <a:graphicData uri="http://schemas.microsoft.com/office/word/2010/wordprocessingShape">
                    <wps:wsp>
                      <wps:cNvCnPr/>
                      <wps:spPr>
                        <a:xfrm>
                          <a:off x="0" y="0"/>
                          <a:ext cx="60144" cy="870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_x0020_Connector_x0020_9" o:spid="_x0000_s1025" style="mso-height-percent:0;mso-height-relative:margin;mso-position-horizontal-relative:margin;mso-width-percent:0;mso-width-relative:margin;mso-wrap-distance-bottom:0;mso-wrap-distance-left:9pt;mso-wrap-distance-right:9pt;mso-wrap-distance-top:0;mso-wrap-style:square;position:absolute;visibility:visible;z-index:251663360" from="220.05pt,9.2pt" to="224.8pt,694.7pt" strokecolor="#f09415">
                <w10:wrap anchorx="margin"/>
              </v:line>
            </w:pict>
          </mc:Fallback>
        </mc:AlternateContent>
      </w:r>
      <w:r w:rsidR="00015DC5" w:rsidRPr="000B0994">
        <w:rPr>
          <w:rFonts w:ascii="Cambria" w:eastAsia="Trebuchet MS" w:hAnsi="Cambria" w:cs="Tahoma"/>
          <w:noProof/>
          <w:color w:val="9D360E" w:themeColor="text2"/>
          <w:sz w:val="56"/>
          <w:lang w:val="en-US"/>
        </w:rPr>
        <w:drawing>
          <wp:inline distT="0" distB="0" distL="0" distR="0" wp14:anchorId="29B325BF" wp14:editId="58BBDF5C">
            <wp:extent cx="2619377" cy="2306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33599" name="Copy of social media logo.jpg"/>
                    <pic:cNvPicPr/>
                  </pic:nvPicPr>
                  <pic:blipFill>
                    <a:blip r:embed="rId6">
                      <a:extLst>
                        <a:ext uri="{28A0092B-C50C-407E-A947-70E740481C1C}">
                          <a14:useLocalDpi xmlns:a14="http://schemas.microsoft.com/office/drawing/2010/main" val="0"/>
                        </a:ext>
                      </a:extLst>
                    </a:blip>
                    <a:stretch>
                      <a:fillRect/>
                    </a:stretch>
                  </pic:blipFill>
                  <pic:spPr>
                    <a:xfrm>
                      <a:off x="0" y="0"/>
                      <a:ext cx="2654770" cy="2337637"/>
                    </a:xfrm>
                    <a:prstGeom prst="rect">
                      <a:avLst/>
                    </a:prstGeom>
                  </pic:spPr>
                </pic:pic>
              </a:graphicData>
            </a:graphic>
          </wp:inline>
        </w:drawing>
      </w:r>
      <w:r w:rsidR="000D48E4" w:rsidRP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 xml:space="preserve">LGBT Rights </w:t>
      </w:r>
      <w:r w:rsid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in</w:t>
      </w:r>
      <w:r w:rsidR="000D48E4" w:rsidRP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 xml:space="preserve"> English Law</w:t>
      </w:r>
      <w:r w:rsidR="00325A7C" w:rsidRP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 xml:space="preserve">: </w:t>
      </w:r>
      <w:r w:rsidR="00116AF2" w:rsidRP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a</w:t>
      </w:r>
      <w:r w:rsidR="00325A7C" w:rsidRPr="000B0994">
        <w:rPr>
          <w:rFonts w:ascii="Baskerville" w:eastAsia="Trebuchet MS" w:hAnsi="Baskerville" w:cs="Arial"/>
          <w:color w:val="9D360E" w:themeColor="text2"/>
          <w:sz w:val="56"/>
          <w:lang w:val="en-US"/>
          <w14:shadow w14:blurRad="50800" w14:dist="38100" w14:dir="5400000" w14:sx="100000" w14:sy="100000" w14:kx="0" w14:ky="0" w14:algn="t">
            <w14:srgbClr w14:val="000000">
              <w14:alpha w14:val="60000"/>
            </w14:srgbClr>
          </w14:shadow>
        </w:rPr>
        <w:t xml:space="preserve"> Brief History</w:t>
      </w:r>
    </w:p>
    <w:p w14:paraId="1B3D3287" w14:textId="77777777" w:rsidR="00CB3082" w:rsidRPr="000B0994" w:rsidRDefault="00CB3082" w:rsidP="00116AF2">
      <w:pPr>
        <w:jc w:val="center"/>
        <w:rPr>
          <w:rFonts w:ascii="Cambria" w:hAnsi="Cambria" w:cs="Tahoma"/>
          <w:lang w:val="en-US"/>
        </w:rPr>
      </w:pPr>
    </w:p>
    <w:p w14:paraId="15C81EF7" w14:textId="77777777" w:rsidR="00584FD1" w:rsidRPr="000B0994" w:rsidRDefault="00A03B79" w:rsidP="00D7733C">
      <w:pPr>
        <w:jc w:val="both"/>
        <w:rPr>
          <w:rFonts w:ascii="Cambria" w:hAnsi="Cambria" w:cs="Tahoma"/>
          <w:b/>
          <w:i/>
          <w:sz w:val="22"/>
          <w:lang w:val="en-US"/>
        </w:rPr>
      </w:pPr>
      <w:r w:rsidRPr="000B0994">
        <w:rPr>
          <w:rFonts w:ascii="Cambria" w:hAnsi="Cambria" w:cs="Tahoma"/>
          <w:b/>
          <w:i/>
          <w:sz w:val="22"/>
          <w:lang w:val="en-US"/>
        </w:rPr>
        <w:t xml:space="preserve">We end the month in reflection and anticipation of what advancements the future holds because history is never fully complete.  </w:t>
      </w:r>
    </w:p>
    <w:p w14:paraId="3958ACDE" w14:textId="77777777" w:rsidR="00CB3082" w:rsidRPr="000B0994" w:rsidRDefault="00A03B79" w:rsidP="00D7733C">
      <w:pPr>
        <w:jc w:val="both"/>
        <w:rPr>
          <w:rFonts w:ascii="Cambria" w:hAnsi="Cambria" w:cs="Tahoma"/>
          <w:b/>
          <w:i/>
          <w:sz w:val="22"/>
          <w:lang w:val="en-US"/>
        </w:rPr>
      </w:pPr>
      <w:r w:rsidRPr="000B0994">
        <w:rPr>
          <w:rFonts w:ascii="Cambria" w:hAnsi="Cambria" w:cs="Tahoma"/>
          <w:b/>
          <w:i/>
          <w:sz w:val="22"/>
          <w:lang w:val="en-US"/>
        </w:rPr>
        <w:t>Happy LGBT History Month!</w:t>
      </w:r>
    </w:p>
    <w:p w14:paraId="19EC90E6" w14:textId="77777777" w:rsidR="00707D16" w:rsidRPr="000B0994" w:rsidRDefault="00A03B79" w:rsidP="002804C7">
      <w:pPr>
        <w:pStyle w:val="Heading1"/>
        <w:rPr>
          <w:rFonts w:ascii="Cambria" w:eastAsia="Trebuchet MS" w:hAnsi="Cambria" w:cs="Tahoma"/>
          <w:color w:val="9D360E" w:themeColor="text2"/>
          <w:sz w:val="2"/>
          <w:lang w:val="en-US"/>
        </w:rPr>
      </w:pPr>
      <w:r w:rsidRPr="000B0994">
        <w:rPr>
          <w:rFonts w:ascii="Cambria" w:eastAsia="Trebuchet MS" w:hAnsi="Cambria" w:cs="Tahoma"/>
          <w:color w:val="9D360E" w:themeColor="text2"/>
          <w:lang w:val="en-US"/>
        </w:rPr>
        <w:t xml:space="preserve"> </w:t>
      </w:r>
    </w:p>
    <w:p w14:paraId="237F8FA3" w14:textId="77777777" w:rsidR="00707D16" w:rsidRPr="0062767B"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pPr>
      <w:r w:rsidRPr="0062767B">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1395</w:t>
      </w:r>
    </w:p>
    <w:p w14:paraId="6FB63003" w14:textId="77777777" w:rsidR="00707D16" w:rsidRPr="000B0994" w:rsidRDefault="00A03B79" w:rsidP="00707D16">
      <w:pPr>
        <w:spacing w:before="100" w:after="0" w:line="240" w:lineRule="auto"/>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Transgender sex worker John or “Eleanor” Rykener was arrested for cross-dressing in Cheapside.  </w:t>
      </w:r>
    </w:p>
    <w:p w14:paraId="3B5CCE17" w14:textId="77777777" w:rsidR="00707D16" w:rsidRPr="0062767B"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pPr>
      <w:r w:rsidRPr="0062767B">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1533</w:t>
      </w:r>
    </w:p>
    <w:p w14:paraId="725B0A84" w14:textId="77777777" w:rsidR="00707D16" w:rsidRPr="00A0755D" w:rsidRDefault="00A03B79" w:rsidP="00707D16">
      <w:pPr>
        <w:spacing w:before="100" w:after="0" w:line="240" w:lineRule="auto"/>
        <w:rPr>
          <w:rFonts w:ascii="Cambria" w:eastAsia="Trebuchet MS" w:hAnsi="Cambria" w:cs="Tahoma"/>
          <w:b/>
          <w:color w:val="000000"/>
          <w:sz w:val="26"/>
          <w:lang w:val="en-US"/>
        </w:rPr>
      </w:pPr>
      <w:r w:rsidRPr="00A0755D">
        <w:rPr>
          <w:rFonts w:ascii="Cambria" w:eastAsia="Trebuchet MS" w:hAnsi="Cambria" w:cs="Tahoma"/>
          <w:b/>
          <w:color w:val="000000"/>
          <w:sz w:val="26"/>
          <w:lang w:val="en-US"/>
        </w:rPr>
        <w:t>The Buggery Act 1533</w:t>
      </w:r>
    </w:p>
    <w:p w14:paraId="29AF52B4" w14:textId="77777777" w:rsidR="00707D16" w:rsidRPr="000B0994" w:rsidRDefault="00707D16" w:rsidP="00707D16">
      <w:pPr>
        <w:spacing w:before="100" w:after="0" w:line="240" w:lineRule="auto"/>
        <w:rPr>
          <w:rFonts w:ascii="Cambria" w:eastAsia="Trebuchet MS" w:hAnsi="Cambria" w:cs="Tahoma"/>
          <w:color w:val="000000"/>
          <w:sz w:val="26"/>
          <w:lang w:val="en-US"/>
        </w:rPr>
      </w:pPr>
    </w:p>
    <w:p w14:paraId="46049AD5"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szCs w:val="24"/>
          <w:lang w:val="en-US"/>
        </w:rPr>
        <w:t>Passed by King Henry VIII and Parliament, the Buggery Act makes any male sexual acts a crime</w:t>
      </w:r>
      <w:r w:rsidRPr="000B0994">
        <w:rPr>
          <w:rFonts w:ascii="Cambria" w:eastAsia="Trebuchet MS" w:hAnsi="Cambria" w:cs="Tahoma"/>
          <w:color w:val="000000"/>
          <w:sz w:val="24"/>
          <w:lang w:val="en-US"/>
        </w:rPr>
        <w:t xml:space="preserve"> punishable by death. The charge of Attempted Buggery carried a maximum sentence of 2 ½ years, mostly spent in the pillory. </w:t>
      </w:r>
    </w:p>
    <w:p w14:paraId="39B4B63F"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Buggery Act would go through stages of repeal and reinforcement for almost 300 years until it was officially replaced by the </w:t>
      </w:r>
      <w:r w:rsidRPr="000B0994">
        <w:rPr>
          <w:rFonts w:ascii="Cambria" w:eastAsia="Trebuchet MS" w:hAnsi="Cambria" w:cs="Tahoma"/>
          <w:color w:val="000000"/>
          <w:sz w:val="24"/>
          <w:u w:val="single"/>
          <w:lang w:val="en-US"/>
        </w:rPr>
        <w:t xml:space="preserve">Offences Against the Persons Act 1828. </w:t>
      </w:r>
      <w:r w:rsidRPr="000B0994">
        <w:rPr>
          <w:rFonts w:ascii="Cambria" w:eastAsia="Trebuchet MS" w:hAnsi="Cambria" w:cs="Tahoma"/>
          <w:color w:val="000000"/>
          <w:sz w:val="24"/>
          <w:lang w:val="en-US"/>
        </w:rPr>
        <w:t xml:space="preserve"> </w:t>
      </w:r>
    </w:p>
    <w:p w14:paraId="64C052B2" w14:textId="77777777" w:rsidR="00707D16" w:rsidRPr="0062767B"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63500" w14:dist="0" w14:dir="0" w14:sx="102000" w14:sy="102000" w14:kx="0" w14:ky="0" w14:algn="ctr">
            <w14:srgbClr w14:val="000000">
              <w14:alpha w14:val="60000"/>
            </w14:srgbClr>
          </w14:shadow>
        </w:rPr>
      </w:pPr>
      <w:r w:rsidRPr="0062767B">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1835</w:t>
      </w:r>
    </w:p>
    <w:p w14:paraId="41315F44" w14:textId="77777777" w:rsidR="00707D16" w:rsidRPr="00A0755D" w:rsidRDefault="00A03B79" w:rsidP="00707D16">
      <w:pPr>
        <w:spacing w:after="200" w:line="276" w:lineRule="auto"/>
        <w:rPr>
          <w:rFonts w:ascii="Cambria" w:eastAsia="Trebuchet MS" w:hAnsi="Cambria" w:cs="Tahoma"/>
          <w:b/>
          <w:color w:val="000000"/>
          <w:sz w:val="26"/>
          <w:lang w:val="en-US"/>
        </w:rPr>
      </w:pPr>
      <w:r w:rsidRPr="00A0755D">
        <w:rPr>
          <w:rFonts w:ascii="Cambria" w:eastAsia="Trebuchet MS" w:hAnsi="Cambria" w:cs="Tahoma"/>
          <w:b/>
          <w:color w:val="000000"/>
          <w:sz w:val="26"/>
          <w:lang w:val="en-US"/>
        </w:rPr>
        <w:t>The Last Executions for the Offence of Buggery</w:t>
      </w:r>
    </w:p>
    <w:p w14:paraId="1E207D0F"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James Pratt and John Smith were the last two men to be executed under the Buggery Act on 27</w:t>
      </w:r>
      <w:r w:rsidRPr="000B0994">
        <w:rPr>
          <w:rFonts w:ascii="Cambria" w:eastAsia="Trebuchet MS" w:hAnsi="Cambria" w:cs="Tahoma"/>
          <w:color w:val="000000"/>
          <w:sz w:val="24"/>
          <w:vertAlign w:val="superscript"/>
          <w:lang w:val="en-US"/>
        </w:rPr>
        <w:t xml:space="preserve"> </w:t>
      </w:r>
      <w:r w:rsidRPr="000B0994">
        <w:rPr>
          <w:rFonts w:ascii="Cambria" w:eastAsia="Trebuchet MS" w:hAnsi="Cambria" w:cs="Tahoma"/>
          <w:color w:val="000000"/>
          <w:sz w:val="24"/>
          <w:lang w:val="en-US"/>
        </w:rPr>
        <w:t xml:space="preserve">November 1835. In 1861, the death penalty for Buggery was abolished. </w:t>
      </w:r>
    </w:p>
    <w:p w14:paraId="5F6A7B9E" w14:textId="77777777" w:rsidR="00707D16" w:rsidRPr="0062767B"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62767B">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1866</w:t>
      </w:r>
    </w:p>
    <w:p w14:paraId="13154E11" w14:textId="77777777" w:rsidR="00707D16" w:rsidRPr="00A0755D" w:rsidRDefault="00A03B79" w:rsidP="00707D16">
      <w:pPr>
        <w:spacing w:after="200" w:line="276" w:lineRule="auto"/>
        <w:rPr>
          <w:rFonts w:ascii="Cambria" w:eastAsia="Trebuchet MS" w:hAnsi="Cambria" w:cs="Tahoma"/>
          <w:b/>
          <w:color w:val="000000"/>
          <w:sz w:val="26"/>
          <w:lang w:val="en-US"/>
        </w:rPr>
      </w:pPr>
      <w:r w:rsidRPr="00A0755D">
        <w:rPr>
          <w:rFonts w:ascii="Cambria" w:eastAsia="Trebuchet MS" w:hAnsi="Cambria" w:cs="Tahoma"/>
          <w:b/>
          <w:color w:val="000000"/>
          <w:sz w:val="26"/>
          <w:lang w:val="en-US"/>
        </w:rPr>
        <w:t>Hyde v Hyde</w:t>
      </w:r>
    </w:p>
    <w:p w14:paraId="3360AAB5"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House of Lords determines that Marriage is defined as being between a man and a woman. This case would serve as a legal roadblock for Court’s debating same-sex marriage for over 200 years. </w:t>
      </w:r>
    </w:p>
    <w:p w14:paraId="1E81B500" w14:textId="77777777" w:rsidR="00707D16" w:rsidRPr="0062767B"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pPr>
      <w:r w:rsidRPr="0062767B">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1885</w:t>
      </w:r>
    </w:p>
    <w:p w14:paraId="71099345" w14:textId="77777777" w:rsidR="0021214A" w:rsidRPr="00A0755D" w:rsidRDefault="00A03B79" w:rsidP="0021214A">
      <w:pPr>
        <w:spacing w:after="200" w:line="276" w:lineRule="auto"/>
        <w:rPr>
          <w:rFonts w:ascii="Cambria" w:eastAsia="Trebuchet MS" w:hAnsi="Cambria" w:cs="Tahoma"/>
          <w:b/>
          <w:color w:val="000000"/>
          <w:sz w:val="26"/>
          <w:lang w:val="en-US"/>
        </w:rPr>
      </w:pPr>
      <w:r w:rsidRPr="00A0755D">
        <w:rPr>
          <w:rFonts w:ascii="Cambria" w:eastAsia="Trebuchet MS" w:hAnsi="Cambria" w:cs="Tahoma"/>
          <w:b/>
          <w:color w:val="000000"/>
          <w:sz w:val="26"/>
          <w:lang w:val="en-US"/>
        </w:rPr>
        <w:t>Criminal Law Amendment Act 1885</w:t>
      </w:r>
    </w:p>
    <w:p w14:paraId="1763A8D8"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Section 11 of The Criminal Law Amendment Act 1885, also known as the Labouchere Amendment, that made it possible to prosecute homosexuals for prohibited gross indecency. Therefore, buggery or attempted no longer had to be proven. </w:t>
      </w:r>
    </w:p>
    <w:p w14:paraId="655113CC" w14:textId="77777777" w:rsidR="00707D16" w:rsidRPr="00182F08"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pPr>
      <w:r w:rsidRPr="00182F08">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1921</w:t>
      </w:r>
    </w:p>
    <w:p w14:paraId="72717530"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House of Commons successfully amended the Criminal Law Amendments Act to include sexual acts between </w:t>
      </w:r>
      <w:r w:rsidRPr="000B0994">
        <w:rPr>
          <w:rFonts w:ascii="Cambria" w:eastAsia="Trebuchet MS" w:hAnsi="Cambria" w:cs="Tahoma"/>
          <w:color w:val="000000"/>
          <w:sz w:val="24"/>
          <w:lang w:val="en-US"/>
        </w:rPr>
        <w:lastRenderedPageBreak/>
        <w:t xml:space="preserve">women as “gross indecency,” however it </w:t>
      </w:r>
      <w:r w:rsidR="00E54DE0" w:rsidRPr="001A4F48">
        <w:rPr>
          <w:rFonts w:ascii="Cambria" w:eastAsia="Trebuchet MS" w:hAnsi="Cambria" w:cs="Tahoma"/>
          <w:noProof/>
          <w:color w:val="FFFFFF" w:themeColor="background1"/>
          <w:sz w:val="24"/>
          <w:lang w:val="en-US"/>
        </w:rPr>
        <mc:AlternateContent>
          <mc:Choice Requires="wps">
            <w:drawing>
              <wp:anchor distT="0" distB="0" distL="114300" distR="114300" simplePos="0" relativeHeight="251660288" behindDoc="0" locked="0" layoutInCell="1" allowOverlap="1" wp14:anchorId="3A74B77F" wp14:editId="2AB04C45">
                <wp:simplePos x="0" y="0"/>
                <wp:positionH relativeFrom="margin">
                  <wp:posOffset>2903583</wp:posOffset>
                </wp:positionH>
                <wp:positionV relativeFrom="paragraph">
                  <wp:posOffset>2177</wp:posOffset>
                </wp:positionV>
                <wp:extent cx="0" cy="93154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931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_x0020_Connector_x0020_8" o:spid="_x0000_s1026" style="mso-height-percent:0;mso-height-relative:margin;mso-position-horizontal-relative:margin;mso-width-percent:0;mso-width-relative:margin;mso-wrap-distance-bottom:0;mso-wrap-distance-left:9pt;mso-wrap-distance-right:9pt;mso-wrap-distance-top:0;mso-wrap-style:square;position:absolute;visibility:visible;z-index:251661312" from="228.65pt,0.15pt" to="228.65pt,733.65pt" strokecolor="#f09415">
                <w10:wrap anchorx="margin"/>
              </v:line>
            </w:pict>
          </mc:Fallback>
        </mc:AlternateContent>
      </w:r>
      <w:r w:rsidRPr="000B0994">
        <w:rPr>
          <w:rFonts w:ascii="Cambria" w:eastAsia="Trebuchet MS" w:hAnsi="Cambria" w:cs="Tahoma"/>
          <w:color w:val="000000"/>
          <w:sz w:val="24"/>
          <w:lang w:val="en-US"/>
        </w:rPr>
        <w:t xml:space="preserve">failed to pass in the House of Lords. Homosexual acts between women have never been criminalised in the United Kingdom. </w:t>
      </w:r>
    </w:p>
    <w:p w14:paraId="05A9AADA" w14:textId="77777777" w:rsidR="00707D16" w:rsidRPr="006A54EE"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pPr>
      <w:r w:rsidRPr="006A54EE">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1956</w:t>
      </w:r>
    </w:p>
    <w:p w14:paraId="590C1CC6" w14:textId="77777777" w:rsidR="00116AF2" w:rsidRPr="00A0755D" w:rsidRDefault="00A03B79" w:rsidP="00116AF2">
      <w:pPr>
        <w:spacing w:after="200" w:line="276" w:lineRule="auto"/>
        <w:jc w:val="both"/>
        <w:rPr>
          <w:rFonts w:ascii="Cambria" w:eastAsia="Trebuchet MS" w:hAnsi="Cambria" w:cs="Tahoma"/>
          <w:b/>
          <w:color w:val="000000"/>
          <w:sz w:val="26"/>
        </w:rPr>
      </w:pPr>
      <w:r w:rsidRPr="00A0755D">
        <w:rPr>
          <w:rFonts w:ascii="Cambria" w:eastAsia="Trebuchet MS" w:hAnsi="Cambria" w:cs="Tahoma"/>
          <w:b/>
          <w:color w:val="000000"/>
          <w:sz w:val="26"/>
        </w:rPr>
        <w:t>The Sexual Offences Act 1956</w:t>
      </w:r>
    </w:p>
    <w:p w14:paraId="40B8BEE2" w14:textId="3C1B2DDA" w:rsidR="00707D16" w:rsidRPr="000B0994" w:rsidRDefault="00A03B79" w:rsidP="00116AF2">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Sexual Offences Act 1956 introduces the crime of sexual assault between women. </w:t>
      </w:r>
      <w:r w:rsidR="00DB3F15">
        <w:rPr>
          <w:rFonts w:ascii="Cambria" w:eastAsia="Trebuchet MS" w:hAnsi="Cambria" w:cs="Tahoma"/>
          <w:color w:val="000000"/>
          <w:sz w:val="24"/>
          <w:lang w:val="en-US"/>
        </w:rPr>
        <w:t>The Act was amended by the Sexual Offences Act 1985 and repealed by the Sexual Offences Act 2003.</w:t>
      </w:r>
    </w:p>
    <w:p w14:paraId="0A7FAD9C" w14:textId="77777777" w:rsidR="00707D16" w:rsidRPr="006A54EE"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63500" w14:dist="0" w14:dir="0" w14:sx="102000" w14:sy="102000" w14:kx="0" w14:ky="0" w14:algn="ctr">
            <w14:srgbClr w14:val="000000">
              <w14:alpha w14:val="60000"/>
            </w14:srgbClr>
          </w14:shadow>
        </w:rPr>
      </w:pPr>
      <w:r w:rsidRPr="006A54EE">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1967</w:t>
      </w:r>
    </w:p>
    <w:p w14:paraId="5F33F46A" w14:textId="77777777" w:rsidR="00707D16" w:rsidRPr="00A0755D" w:rsidRDefault="00A03B79" w:rsidP="00707D16">
      <w:pPr>
        <w:spacing w:after="200" w:line="276" w:lineRule="auto"/>
        <w:jc w:val="both"/>
        <w:rPr>
          <w:rFonts w:ascii="Cambria" w:eastAsia="Trebuchet MS" w:hAnsi="Cambria" w:cs="Tahoma"/>
          <w:b/>
          <w:color w:val="000000"/>
          <w:sz w:val="26"/>
        </w:rPr>
      </w:pPr>
      <w:r w:rsidRPr="00A0755D">
        <w:rPr>
          <w:rFonts w:ascii="Cambria" w:eastAsia="Trebuchet MS" w:hAnsi="Cambria" w:cs="Tahoma"/>
          <w:b/>
          <w:color w:val="000000"/>
          <w:sz w:val="26"/>
        </w:rPr>
        <w:t>The Sexual Offences Act 1967</w:t>
      </w:r>
    </w:p>
    <w:p w14:paraId="67346FEE" w14:textId="0652C011"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Sexual Offences Act 1967 decriminalised sexual acts performed in private by consenting males over the age of 21 years old. </w:t>
      </w:r>
      <w:r w:rsidR="0089211F">
        <w:rPr>
          <w:rFonts w:ascii="Cambria" w:eastAsia="Trebuchet MS" w:hAnsi="Cambria" w:cs="Tahoma"/>
          <w:color w:val="000000"/>
          <w:sz w:val="24"/>
          <w:lang w:val="en-US"/>
        </w:rPr>
        <w:t xml:space="preserve">The Act was </w:t>
      </w:r>
      <w:r w:rsidR="001C01A8">
        <w:rPr>
          <w:rFonts w:ascii="Cambria" w:eastAsia="Trebuchet MS" w:hAnsi="Cambria" w:cs="Tahoma"/>
          <w:color w:val="000000"/>
          <w:sz w:val="24"/>
          <w:lang w:val="en-US"/>
        </w:rPr>
        <w:t xml:space="preserve">amended by the Sexual Offences Act 2003. </w:t>
      </w:r>
    </w:p>
    <w:p w14:paraId="61B6ED1A" w14:textId="77777777" w:rsidR="00707D16" w:rsidRPr="006A54EE"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6A54EE">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1970</w:t>
      </w:r>
    </w:p>
    <w:p w14:paraId="41B2F103" w14:textId="77777777" w:rsidR="00707D16" w:rsidRPr="00A0755D" w:rsidRDefault="00A03B79" w:rsidP="00707D16">
      <w:pPr>
        <w:spacing w:after="200" w:line="276" w:lineRule="auto"/>
        <w:jc w:val="both"/>
        <w:rPr>
          <w:rFonts w:ascii="Cambria" w:eastAsia="Trebuchet MS" w:hAnsi="Cambria" w:cs="Tahoma"/>
          <w:b/>
          <w:i/>
          <w:color w:val="000000"/>
          <w:sz w:val="26"/>
        </w:rPr>
      </w:pPr>
      <w:r w:rsidRPr="00A0755D">
        <w:rPr>
          <w:rFonts w:ascii="Cambria" w:eastAsia="Trebuchet MS" w:hAnsi="Cambria" w:cs="Tahoma"/>
          <w:b/>
          <w:i/>
          <w:color w:val="000000"/>
          <w:sz w:val="26"/>
        </w:rPr>
        <w:t xml:space="preserve">Corbett v Corbett </w:t>
      </w:r>
    </w:p>
    <w:p w14:paraId="08D4CF84" w14:textId="77777777" w:rsidR="00707D16" w:rsidRPr="000B0994" w:rsidRDefault="00A03B79" w:rsidP="00707D16">
      <w:pPr>
        <w:spacing w:after="200" w:line="276" w:lineRule="auto"/>
        <w:jc w:val="both"/>
        <w:rPr>
          <w:rFonts w:ascii="Cambria" w:eastAsia="Trebuchet MS" w:hAnsi="Cambria" w:cs="Tahoma"/>
          <w:color w:val="000000"/>
          <w:sz w:val="24"/>
        </w:rPr>
      </w:pPr>
      <w:r w:rsidRPr="000B0994">
        <w:rPr>
          <w:rFonts w:ascii="Cambria" w:eastAsia="Trebuchet MS" w:hAnsi="Cambria" w:cs="Tahoma"/>
          <w:color w:val="000000"/>
          <w:sz w:val="24"/>
        </w:rPr>
        <w:t xml:space="preserve">A divorce case where the Claimant sought to be relieved of maintenance payments, by having his marriage annulled on the grounds that his wife was a transgender woman. The Court decided in favour of the Claimant and ruled that it was impossible to change sex and that a </w:t>
      </w:r>
      <w:r w:rsidR="00E66633" w:rsidRPr="000B0994">
        <w:rPr>
          <w:rFonts w:ascii="Cambria" w:eastAsia="Trebuchet MS" w:hAnsi="Cambria" w:cs="Tahoma"/>
          <w:color w:val="000000"/>
          <w:sz w:val="24"/>
        </w:rPr>
        <w:t>person’s</w:t>
      </w:r>
      <w:r w:rsidRPr="000B0994">
        <w:rPr>
          <w:rFonts w:ascii="Cambria" w:eastAsia="Trebuchet MS" w:hAnsi="Cambria" w:cs="Tahoma"/>
          <w:color w:val="000000"/>
          <w:sz w:val="24"/>
        </w:rPr>
        <w:t xml:space="preserve"> gender is to be determined by their official birth certificate. </w:t>
      </w:r>
    </w:p>
    <w:p w14:paraId="6729C31B" w14:textId="77777777" w:rsidR="00707D16" w:rsidRPr="00390BE4"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390BE4">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w:t>
      </w:r>
      <w:r w:rsidR="00CB2199" w:rsidRPr="00390BE4">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994</w:t>
      </w:r>
    </w:p>
    <w:p w14:paraId="482EDFF0" w14:textId="77777777" w:rsidR="00707D16" w:rsidRPr="00A0755D" w:rsidRDefault="00A03B79" w:rsidP="00707D16">
      <w:pPr>
        <w:spacing w:after="200" w:line="276" w:lineRule="auto"/>
        <w:rPr>
          <w:rFonts w:ascii="Cambria" w:eastAsia="Trebuchet MS" w:hAnsi="Cambria" w:cs="Tahoma"/>
          <w:b/>
          <w:i/>
          <w:color w:val="000000"/>
          <w:sz w:val="26"/>
          <w:lang w:val="en-US"/>
        </w:rPr>
      </w:pPr>
      <w:r w:rsidRPr="00A0755D">
        <w:rPr>
          <w:rFonts w:ascii="Cambria" w:eastAsia="Trebuchet MS" w:hAnsi="Cambria" w:cs="Tahoma"/>
          <w:b/>
          <w:i/>
          <w:color w:val="000000"/>
          <w:sz w:val="26"/>
          <w:lang w:val="en-US"/>
        </w:rPr>
        <w:t xml:space="preserve">R v Brown </w:t>
      </w:r>
    </w:p>
    <w:p w14:paraId="4951E110"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The House of Lords determines that consent is not a defence to battery in a case involving a group of homosexual males engaging in sadomasochist activities. The ruling while in law has been considered sound, the policy considerations regarding prosecution and conviction have been questioned. </w:t>
      </w:r>
    </w:p>
    <w:p w14:paraId="65340BB6" w14:textId="77777777" w:rsidR="00707D16" w:rsidRPr="00390BE4"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63500" w14:dist="0" w14:dir="0" w14:sx="102000" w14:sy="102000" w14:kx="0" w14:ky="0" w14:algn="ctr">
            <w14:srgbClr w14:val="000000">
              <w14:alpha w14:val="60000"/>
            </w14:srgbClr>
          </w14:shadow>
        </w:rPr>
      </w:pPr>
      <w:r w:rsidRPr="00390BE4">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1996</w:t>
      </w:r>
    </w:p>
    <w:p w14:paraId="18B22A59" w14:textId="77777777" w:rsidR="00707D16" w:rsidRPr="00A0755D" w:rsidRDefault="00A03B79" w:rsidP="00707D16">
      <w:pPr>
        <w:spacing w:after="200" w:line="276" w:lineRule="auto"/>
        <w:rPr>
          <w:rFonts w:ascii="Cambria" w:eastAsia="Trebuchet MS" w:hAnsi="Cambria" w:cs="Tahoma"/>
          <w:b/>
          <w:i/>
          <w:color w:val="000000"/>
          <w:sz w:val="26"/>
          <w:lang w:val="en-US"/>
        </w:rPr>
      </w:pPr>
      <w:r w:rsidRPr="00A0755D">
        <w:rPr>
          <w:rFonts w:ascii="Cambria" w:eastAsia="Trebuchet MS" w:hAnsi="Cambria" w:cs="Tahoma"/>
          <w:b/>
          <w:i/>
          <w:color w:val="000000"/>
          <w:sz w:val="26"/>
          <w:lang w:val="en-US"/>
        </w:rPr>
        <w:t xml:space="preserve">P v S and Cornwall County Council </w:t>
      </w:r>
    </w:p>
    <w:p w14:paraId="060F5B06" w14:textId="709BAAC9" w:rsidR="00707D16" w:rsidRPr="000B0994" w:rsidRDefault="00A03B79" w:rsidP="00A03B79">
      <w:pPr>
        <w:spacing w:before="100" w:after="0" w:line="240" w:lineRule="auto"/>
        <w:jc w:val="both"/>
        <w:rPr>
          <w:rFonts w:ascii="Cambria" w:eastAsia="Trebuchet MS" w:hAnsi="Cambria" w:cs="Tahoma"/>
          <w:color w:val="000000"/>
          <w:sz w:val="26"/>
          <w:lang w:val="en-US"/>
        </w:rPr>
      </w:pPr>
      <w:r w:rsidRPr="000B0994">
        <w:rPr>
          <w:rFonts w:ascii="Cambria" w:eastAsia="Trebuchet MS" w:hAnsi="Cambria" w:cs="Tahoma"/>
          <w:color w:val="000000"/>
          <w:sz w:val="26"/>
          <w:lang w:val="en-US"/>
        </w:rPr>
        <w:t xml:space="preserve">The complaint was fired after announcing to her employer that she was undergoing gender reassignment surgery. The Employment Tribunal found that she was dismissed due to her gender reassignment but required clarification from the European Court of Justice on whether discrimination extended to transgender persons.  The Court held that protection from sexual discrimination applied to transgendered persons and that the firing had been discriminatory based on the complaint’s sex. </w:t>
      </w:r>
    </w:p>
    <w:p w14:paraId="16239B9F" w14:textId="77777777" w:rsidR="00707D16" w:rsidRPr="001A4F48"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63500" w14:dist="0" w14:dir="0" w14:sx="102000" w14:sy="102000" w14:kx="0" w14:ky="0" w14:algn="ctr">
            <w14:srgbClr w14:val="000000">
              <w14:alpha w14:val="60000"/>
            </w14:srgbClr>
          </w14:shadow>
        </w:rPr>
      </w:pPr>
      <w:r w:rsidRPr="001A4F48">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2001</w:t>
      </w:r>
    </w:p>
    <w:p w14:paraId="6F15DD34" w14:textId="784C04B2" w:rsidR="00707D16" w:rsidRPr="00A0755D" w:rsidRDefault="00A03B79" w:rsidP="00707D16">
      <w:pPr>
        <w:spacing w:after="200" w:line="276" w:lineRule="auto"/>
        <w:jc w:val="both"/>
        <w:rPr>
          <w:rFonts w:ascii="Cambria" w:eastAsia="Trebuchet MS" w:hAnsi="Cambria" w:cs="Tahoma"/>
          <w:b/>
          <w:color w:val="000000"/>
          <w:sz w:val="26"/>
          <w:lang w:val="en-US"/>
        </w:rPr>
      </w:pPr>
      <w:r w:rsidRPr="00A0755D">
        <w:rPr>
          <w:rFonts w:ascii="Cambria" w:eastAsia="Trebuchet MS" w:hAnsi="Cambria" w:cs="Tahoma"/>
          <w:b/>
          <w:color w:val="000000"/>
          <w:sz w:val="26"/>
          <w:lang w:val="en-US"/>
        </w:rPr>
        <w:t>Sexual Offences (Amendment) Act</w:t>
      </w:r>
      <w:r w:rsidR="00590E66">
        <w:rPr>
          <w:rFonts w:ascii="Cambria" w:eastAsia="Trebuchet MS" w:hAnsi="Cambria" w:cs="Tahoma"/>
          <w:b/>
          <w:color w:val="000000"/>
          <w:sz w:val="26"/>
          <w:lang w:val="en-US"/>
        </w:rPr>
        <w:t xml:space="preserve"> </w:t>
      </w:r>
      <w:r w:rsidRPr="00A0755D">
        <w:rPr>
          <w:rFonts w:ascii="Cambria" w:eastAsia="Trebuchet MS" w:hAnsi="Cambria" w:cs="Tahoma"/>
          <w:b/>
          <w:color w:val="000000"/>
          <w:sz w:val="26"/>
          <w:lang w:val="en-US"/>
        </w:rPr>
        <w:t>2000</w:t>
      </w:r>
    </w:p>
    <w:p w14:paraId="34D407CE" w14:textId="77777777" w:rsidR="00707D16"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Reduced the ages of consent for homosexual relationships to 16 years old, and decriminalised homosexual group sex. </w:t>
      </w:r>
    </w:p>
    <w:p w14:paraId="453C43AD" w14:textId="77777777" w:rsidR="00707D16" w:rsidRPr="001A4F48"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1A4F48">
        <w:rPr>
          <w:rFonts w:ascii="Cambria" w:eastAsia="Times New Roman" w:hAnsi="Cambria" w:cs="Tahoma"/>
          <w:b/>
          <w:color w:val="FFFFFF" w:themeColor="background1"/>
          <w:sz w:val="36"/>
          <w:szCs w:val="32"/>
          <w:shd w:val="clear" w:color="auto" w:fill="9D360E" w:themeFill="text2"/>
          <w:lang w:val="en-US"/>
          <w14:shadow w14:blurRad="63500" w14:dist="0" w14:dir="0" w14:sx="102000" w14:sy="102000" w14:kx="0" w14:ky="0" w14:algn="ctr">
            <w14:srgbClr w14:val="000000">
              <w14:alpha w14:val="60000"/>
            </w14:srgbClr>
          </w14:shadow>
        </w:rPr>
        <w:t>2003</w:t>
      </w:r>
    </w:p>
    <w:p w14:paraId="33FD1585" w14:textId="77777777" w:rsidR="00707D16" w:rsidRPr="00A0755D" w:rsidRDefault="00A03B79" w:rsidP="00707D16">
      <w:pPr>
        <w:spacing w:before="100" w:after="0" w:line="240" w:lineRule="auto"/>
        <w:jc w:val="both"/>
        <w:rPr>
          <w:rFonts w:ascii="Cambria" w:eastAsia="Trebuchet MS" w:hAnsi="Cambria" w:cs="Tahoma"/>
          <w:b/>
          <w:i/>
          <w:color w:val="000000"/>
          <w:sz w:val="26"/>
          <w:lang w:val="en-US"/>
        </w:rPr>
      </w:pPr>
      <w:r w:rsidRPr="00A0755D">
        <w:rPr>
          <w:rFonts w:ascii="Cambria" w:eastAsia="Trebuchet MS" w:hAnsi="Cambria" w:cs="Tahoma"/>
          <w:b/>
          <w:i/>
          <w:color w:val="000000"/>
          <w:sz w:val="26"/>
          <w:lang w:val="en-US"/>
        </w:rPr>
        <w:t xml:space="preserve">Wilkinson v Kitzinger </w:t>
      </w:r>
    </w:p>
    <w:p w14:paraId="0F2F68B6" w14:textId="77777777" w:rsidR="00E80B6D"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A claimant sought a declaration that her same sex marriage, which took place in Canada, would be recognised in the United Kingdom. The Courts denied the </w:t>
      </w:r>
      <w:r w:rsidRPr="000B0994">
        <w:rPr>
          <w:rFonts w:ascii="Cambria" w:eastAsia="Trebuchet MS" w:hAnsi="Cambria" w:cs="Tahoma"/>
          <w:color w:val="000000"/>
          <w:sz w:val="24"/>
          <w:lang w:val="en-US"/>
        </w:rPr>
        <w:lastRenderedPageBreak/>
        <w:t xml:space="preserve">petition and held that marriage was not legal in the United Kingdom and that the only available option was a civil partnership. </w:t>
      </w:r>
    </w:p>
    <w:p w14:paraId="28D0B5FB" w14:textId="77777777" w:rsidR="00E835D1" w:rsidRPr="000B0994" w:rsidRDefault="00E835D1">
      <w:pPr>
        <w:rPr>
          <w:rFonts w:ascii="Cambria" w:hAnsi="Cambria" w:cs="Tahoma"/>
        </w:rPr>
      </w:pPr>
    </w:p>
    <w:p w14:paraId="69E229EF" w14:textId="77777777" w:rsidR="00707D16" w:rsidRPr="001A4F48"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63500" w14:dist="0" w14:dir="0" w14:sx="102000" w14:sy="102000" w14:kx="0" w14:ky="0" w14:algn="ctr">
            <w14:srgbClr w14:val="000000">
              <w14:alpha w14:val="60000"/>
            </w14:srgbClr>
          </w14:shadow>
        </w:rPr>
      </w:pPr>
      <w:r w:rsidRPr="001A4F48">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2004</w:t>
      </w:r>
    </w:p>
    <w:p w14:paraId="246FA82B" w14:textId="77777777" w:rsidR="00707D16" w:rsidRPr="00A0755D" w:rsidRDefault="00A03B79" w:rsidP="00707D16">
      <w:pPr>
        <w:spacing w:before="100" w:after="0" w:line="240" w:lineRule="auto"/>
        <w:jc w:val="both"/>
        <w:rPr>
          <w:rFonts w:ascii="Cambria" w:eastAsia="Trebuchet MS" w:hAnsi="Cambria" w:cs="Tahoma"/>
          <w:b/>
          <w:color w:val="000000"/>
          <w:sz w:val="26"/>
          <w:lang w:val="en-US"/>
        </w:rPr>
      </w:pPr>
      <w:r w:rsidRPr="00A0755D">
        <w:rPr>
          <w:rFonts w:ascii="Cambria" w:eastAsia="Trebuchet MS" w:hAnsi="Cambria" w:cs="Tahoma"/>
          <w:b/>
          <w:color w:val="000000"/>
          <w:sz w:val="26"/>
          <w:lang w:val="en-US"/>
        </w:rPr>
        <w:t>The Civil Partnership Act 2004</w:t>
      </w:r>
    </w:p>
    <w:p w14:paraId="6A933423" w14:textId="77777777" w:rsidR="00707D16"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Established Civil partnerships in England and Wales for same-sex couples as a legal alternative to marriage.</w:t>
      </w:r>
    </w:p>
    <w:p w14:paraId="2C441D99" w14:textId="77777777" w:rsidR="00707D16" w:rsidRPr="000B0994" w:rsidRDefault="00707D16" w:rsidP="00707D16">
      <w:pPr>
        <w:spacing w:before="100" w:after="0" w:line="240" w:lineRule="auto"/>
        <w:jc w:val="both"/>
        <w:rPr>
          <w:rFonts w:ascii="Cambria" w:eastAsia="Trebuchet MS" w:hAnsi="Cambria" w:cs="Tahoma"/>
          <w:color w:val="000000"/>
          <w:sz w:val="26"/>
          <w:lang w:val="en-US"/>
        </w:rPr>
      </w:pPr>
    </w:p>
    <w:p w14:paraId="4C304C3A" w14:textId="77777777" w:rsidR="00707D16" w:rsidRPr="00A0755D" w:rsidRDefault="00A03B79" w:rsidP="00707D16">
      <w:pPr>
        <w:spacing w:after="200" w:line="276" w:lineRule="auto"/>
        <w:jc w:val="both"/>
        <w:rPr>
          <w:rFonts w:ascii="Cambria" w:eastAsia="Trebuchet MS" w:hAnsi="Cambria" w:cs="Tahoma"/>
          <w:b/>
          <w:color w:val="000000"/>
          <w:sz w:val="26"/>
          <w:lang w:val="en-US"/>
        </w:rPr>
      </w:pPr>
      <w:r w:rsidRPr="00A0755D">
        <w:rPr>
          <w:rFonts w:ascii="Cambria" w:eastAsia="Trebuchet MS" w:hAnsi="Cambria" w:cs="Tahoma"/>
          <w:b/>
          <w:color w:val="000000"/>
          <w:sz w:val="26"/>
          <w:lang w:val="en-US"/>
        </w:rPr>
        <w:t>The Gender Recognition Act 2004</w:t>
      </w:r>
    </w:p>
    <w:p w14:paraId="73E91825" w14:textId="77777777" w:rsidR="00707D16" w:rsidRPr="000B0994" w:rsidRDefault="00A03B79" w:rsidP="00707D16">
      <w:pPr>
        <w:spacing w:after="200" w:line="276"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Provided transgender people to change their legal gender on their birth certificates.</w:t>
      </w:r>
    </w:p>
    <w:p w14:paraId="505043CB" w14:textId="77777777" w:rsidR="00707D16" w:rsidRPr="00FE1743"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FE1743">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2006</w:t>
      </w:r>
    </w:p>
    <w:p w14:paraId="3245A26E" w14:textId="77777777" w:rsidR="00707D16" w:rsidRPr="00A0755D" w:rsidRDefault="00A03B79" w:rsidP="00707D16">
      <w:pPr>
        <w:spacing w:after="200" w:line="276" w:lineRule="auto"/>
        <w:jc w:val="both"/>
        <w:rPr>
          <w:rFonts w:ascii="Cambria" w:eastAsia="Trebuchet MS" w:hAnsi="Cambria" w:cs="Tahoma"/>
          <w:b/>
          <w:i/>
          <w:color w:val="000000"/>
          <w:sz w:val="26"/>
          <w:lang w:val="en-US"/>
        </w:rPr>
      </w:pPr>
      <w:r w:rsidRPr="00A0755D">
        <w:rPr>
          <w:rFonts w:ascii="Cambria" w:eastAsia="Trebuchet MS" w:hAnsi="Cambria" w:cs="Tahoma"/>
          <w:b/>
          <w:i/>
          <w:color w:val="000000"/>
          <w:sz w:val="26"/>
          <w:lang w:val="en-US"/>
        </w:rPr>
        <w:t xml:space="preserve">Grant v The United Kingdom </w:t>
      </w:r>
    </w:p>
    <w:p w14:paraId="34752E14" w14:textId="77777777" w:rsidR="00707D16"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Reduced the ages of consent for homosexual relationships to 16 years old, and decriminalised homosexual group sex. </w:t>
      </w:r>
    </w:p>
    <w:p w14:paraId="0E75801F" w14:textId="77777777" w:rsidR="00707D16" w:rsidRPr="00FE1743"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FE1743">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2008</w:t>
      </w:r>
    </w:p>
    <w:p w14:paraId="09906203" w14:textId="34814ACD" w:rsidR="00A03B79" w:rsidRDefault="00A03B79" w:rsidP="00707D16">
      <w:pPr>
        <w:spacing w:before="100" w:after="0" w:line="240" w:lineRule="auto"/>
        <w:jc w:val="both"/>
        <w:rPr>
          <w:rFonts w:ascii="Cambria" w:eastAsia="Trebuchet MS" w:hAnsi="Cambria" w:cs="Tahoma"/>
          <w:b/>
          <w:color w:val="000000"/>
          <w:sz w:val="26"/>
          <w:lang w:val="en-US"/>
        </w:rPr>
      </w:pPr>
      <w:r w:rsidRPr="00A0755D">
        <w:rPr>
          <w:rFonts w:ascii="Cambria" w:eastAsia="Trebuchet MS" w:hAnsi="Cambria" w:cs="Tahoma"/>
          <w:b/>
          <w:color w:val="000000"/>
          <w:sz w:val="26"/>
          <w:lang w:val="en-US"/>
        </w:rPr>
        <w:t>Human Fertilisation and Embryology Act 2008</w:t>
      </w:r>
    </w:p>
    <w:p w14:paraId="5F1F6493" w14:textId="7C7058EA" w:rsidR="00A03B79" w:rsidRPr="00A03B79" w:rsidRDefault="00A03B79" w:rsidP="00707D16">
      <w:pPr>
        <w:spacing w:before="100" w:after="0" w:line="240" w:lineRule="auto"/>
        <w:jc w:val="both"/>
        <w:rPr>
          <w:rFonts w:ascii="Cambria" w:eastAsia="Trebuchet MS" w:hAnsi="Cambria" w:cs="Tahoma"/>
          <w:color w:val="000000"/>
          <w:sz w:val="26"/>
          <w:lang w:val="en-US"/>
        </w:rPr>
      </w:pPr>
      <w:r>
        <w:rPr>
          <w:rFonts w:ascii="Cambria" w:eastAsia="Trebuchet MS" w:hAnsi="Cambria" w:cs="Tahoma"/>
          <w:color w:val="000000"/>
          <w:sz w:val="26"/>
          <w:lang w:val="en-US"/>
        </w:rPr>
        <w:t>The Act not only acted as landmark legis</w:t>
      </w:r>
      <w:r w:rsidR="00DB3F15">
        <w:rPr>
          <w:rFonts w:ascii="Cambria" w:eastAsia="Trebuchet MS" w:hAnsi="Cambria" w:cs="Tahoma"/>
          <w:color w:val="000000"/>
          <w:sz w:val="26"/>
          <w:lang w:val="en-US"/>
        </w:rPr>
        <w:t xml:space="preserve">lation for the regulation of embryology, but also </w:t>
      </w:r>
      <w:r w:rsidR="00AD229F">
        <w:rPr>
          <w:rFonts w:ascii="Cambria" w:eastAsia="Trebuchet MS" w:hAnsi="Cambria" w:cs="Tahoma"/>
          <w:color w:val="000000"/>
          <w:sz w:val="26"/>
          <w:lang w:val="en-US"/>
        </w:rPr>
        <w:t>provided parental recognition to lesbian couples in civil partnerships.</w:t>
      </w:r>
      <w:bookmarkStart w:id="0" w:name="_GoBack"/>
      <w:bookmarkEnd w:id="0"/>
    </w:p>
    <w:p w14:paraId="19E87694" w14:textId="77777777" w:rsidR="00707D16" w:rsidRPr="00FE1743"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rPr>
      </w:pPr>
      <w:r w:rsidRPr="00FE1743">
        <w:rPr>
          <w:rFonts w:ascii="Cambria" w:eastAsia="Times New Roman" w:hAnsi="Cambria" w:cs="Tahoma"/>
          <w:b/>
          <w:color w:val="FFFFFF" w:themeColor="background1"/>
          <w:sz w:val="36"/>
          <w:szCs w:val="32"/>
          <w:lang w:val="en-US"/>
          <w14:shadow w14:blurRad="63500" w14:dist="0" w14:dir="0" w14:sx="102000" w14:sy="102000" w14:kx="0" w14:ky="0" w14:algn="ctr">
            <w14:srgbClr w14:val="000000">
              <w14:alpha w14:val="60000"/>
            </w14:srgbClr>
          </w14:shadow>
        </w:rPr>
        <w:t>2014</w:t>
      </w:r>
    </w:p>
    <w:p w14:paraId="0619BEF2" w14:textId="77777777" w:rsidR="00707D16" w:rsidRPr="00A03B79" w:rsidRDefault="00A03B79" w:rsidP="00707D16">
      <w:pPr>
        <w:spacing w:after="200" w:line="276" w:lineRule="auto"/>
        <w:jc w:val="both"/>
        <w:rPr>
          <w:rFonts w:ascii="Cambria" w:eastAsia="Trebuchet MS" w:hAnsi="Cambria" w:cs="Tahoma"/>
          <w:b/>
          <w:color w:val="000000"/>
          <w:sz w:val="26"/>
          <w:lang w:val="en-US"/>
        </w:rPr>
      </w:pPr>
      <w:r w:rsidRPr="00A03B79">
        <w:rPr>
          <w:rFonts w:ascii="Cambria" w:eastAsia="Trebuchet MS" w:hAnsi="Cambria" w:cs="Tahoma"/>
          <w:b/>
          <w:color w:val="000000"/>
          <w:sz w:val="26"/>
          <w:lang w:val="en-US"/>
        </w:rPr>
        <w:t>Sexual Offences (Amendment) Act of 2000</w:t>
      </w:r>
    </w:p>
    <w:p w14:paraId="24BEFFB7" w14:textId="77777777" w:rsidR="00707D16"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 xml:space="preserve">Reduced the ages of consent for homosexual relationships to 16 years </w:t>
      </w:r>
      <w:r w:rsidRPr="000B0994">
        <w:rPr>
          <w:rFonts w:ascii="Cambria" w:eastAsia="Trebuchet MS" w:hAnsi="Cambria" w:cs="Tahoma"/>
          <w:color w:val="000000"/>
          <w:sz w:val="24"/>
          <w:lang w:val="en-US"/>
        </w:rPr>
        <w:t xml:space="preserve">old, and decriminalised homosexual group sex. </w:t>
      </w:r>
    </w:p>
    <w:p w14:paraId="4E64D2FE" w14:textId="77777777" w:rsidR="00707D16" w:rsidRPr="000B0994" w:rsidRDefault="00707D16" w:rsidP="00707D16">
      <w:pPr>
        <w:spacing w:before="100" w:after="0" w:line="240" w:lineRule="auto"/>
        <w:jc w:val="both"/>
        <w:rPr>
          <w:rFonts w:ascii="Cambria" w:eastAsia="Trebuchet MS" w:hAnsi="Cambria" w:cs="Tahoma"/>
          <w:color w:val="000000"/>
          <w:sz w:val="24"/>
          <w:lang w:val="en-US"/>
        </w:rPr>
      </w:pPr>
    </w:p>
    <w:p w14:paraId="0CFF2701" w14:textId="77777777" w:rsidR="00707D16" w:rsidRPr="00A03B79" w:rsidRDefault="00A03B79" w:rsidP="00707D16">
      <w:pPr>
        <w:spacing w:before="100" w:after="0" w:line="240" w:lineRule="auto"/>
        <w:jc w:val="both"/>
        <w:rPr>
          <w:rFonts w:ascii="Cambria" w:eastAsia="Trebuchet MS" w:hAnsi="Cambria" w:cs="Tahoma"/>
          <w:b/>
          <w:color w:val="000000"/>
          <w:sz w:val="28"/>
          <w:lang w:val="en-US"/>
        </w:rPr>
      </w:pPr>
      <w:r w:rsidRPr="00A03B79">
        <w:rPr>
          <w:rFonts w:ascii="Cambria" w:eastAsia="Trebuchet MS" w:hAnsi="Cambria" w:cs="Tahoma"/>
          <w:b/>
          <w:color w:val="000000"/>
          <w:sz w:val="28"/>
          <w:lang w:val="en-US"/>
        </w:rPr>
        <w:t>Marriage (Same-Sex Couples) Act 2013</w:t>
      </w:r>
    </w:p>
    <w:p w14:paraId="338804D7" w14:textId="77777777" w:rsidR="00707D16" w:rsidRPr="000B0994" w:rsidRDefault="00A03B79" w:rsidP="00707D16">
      <w:pPr>
        <w:spacing w:before="100" w:after="0" w:line="240" w:lineRule="auto"/>
        <w:jc w:val="both"/>
        <w:rPr>
          <w:rFonts w:ascii="Cambria" w:eastAsia="Trebuchet MS" w:hAnsi="Cambria" w:cs="Tahoma"/>
          <w:color w:val="000000"/>
          <w:sz w:val="24"/>
          <w:lang w:val="en-US"/>
        </w:rPr>
      </w:pPr>
      <w:r w:rsidRPr="000B0994">
        <w:rPr>
          <w:rFonts w:ascii="Cambria" w:eastAsia="Trebuchet MS" w:hAnsi="Cambria" w:cs="Tahoma"/>
          <w:color w:val="000000"/>
          <w:sz w:val="24"/>
          <w:lang w:val="en-US"/>
        </w:rPr>
        <w:t>Legali</w:t>
      </w:r>
      <w:r w:rsidR="00E66633" w:rsidRPr="000B0994">
        <w:rPr>
          <w:rFonts w:ascii="Cambria" w:eastAsia="Trebuchet MS" w:hAnsi="Cambria" w:cs="Tahoma"/>
          <w:color w:val="000000"/>
          <w:sz w:val="24"/>
          <w:lang w:val="en-US"/>
        </w:rPr>
        <w:t>s</w:t>
      </w:r>
      <w:r w:rsidRPr="000B0994">
        <w:rPr>
          <w:rFonts w:ascii="Cambria" w:eastAsia="Trebuchet MS" w:hAnsi="Cambria" w:cs="Tahoma"/>
          <w:color w:val="000000"/>
          <w:sz w:val="24"/>
          <w:lang w:val="en-US"/>
        </w:rPr>
        <w:t>ed same-sex marriage in England and Wales</w:t>
      </w:r>
      <w:r w:rsidR="00E66633" w:rsidRPr="000B0994">
        <w:rPr>
          <w:rFonts w:ascii="Cambria" w:eastAsia="Trebuchet MS" w:hAnsi="Cambria" w:cs="Tahoma"/>
          <w:color w:val="000000"/>
          <w:sz w:val="24"/>
          <w:lang w:val="en-US"/>
        </w:rPr>
        <w:t xml:space="preserve">. </w:t>
      </w:r>
    </w:p>
    <w:p w14:paraId="042E7DC8" w14:textId="77777777" w:rsidR="006B5D9C" w:rsidRPr="00FE1743" w:rsidRDefault="00A03B79" w:rsidP="00FE1743">
      <w:pPr>
        <w:keepNext/>
        <w:keepLines/>
        <w:shd w:val="clear" w:color="auto" w:fill="9D360E" w:themeFill="text2"/>
        <w:spacing w:before="240" w:after="0" w:line="276" w:lineRule="auto"/>
        <w:jc w:val="center"/>
        <w:outlineLvl w:val="0"/>
        <w:rPr>
          <w:rFonts w:ascii="Cambria" w:eastAsia="Times New Roman" w:hAnsi="Cambria" w:cs="Tahoma"/>
          <w:b/>
          <w:color w:val="FFFFFF" w:themeColor="background1"/>
          <w:sz w:val="40"/>
          <w:szCs w:val="32"/>
          <w:lang w:val="en-US"/>
          <w14:shadow w14:blurRad="50800" w14:dist="38100" w14:dir="5400000" w14:sx="100000" w14:sy="100000" w14:kx="0" w14:ky="0" w14:algn="t">
            <w14:srgbClr w14:val="000000">
              <w14:alpha w14:val="60000"/>
            </w14:srgbClr>
          </w14:shadow>
        </w:rPr>
      </w:pPr>
      <w:r w:rsidRPr="000B0994">
        <w:rPr>
          <w:rFonts w:ascii="Cambria" w:eastAsia="Trebuchet MS" w:hAnsi="Cambria" w:cs="Tahoma"/>
          <w:noProof/>
          <w:color w:val="000000"/>
          <w:sz w:val="24"/>
          <w:lang w:val="en-US"/>
        </w:rPr>
        <mc:AlternateContent>
          <mc:Choice Requires="wps">
            <w:drawing>
              <wp:anchor distT="0" distB="0" distL="114300" distR="114300" simplePos="0" relativeHeight="251658240" behindDoc="0" locked="0" layoutInCell="1" allowOverlap="1" wp14:anchorId="486AB155" wp14:editId="4021E18C">
                <wp:simplePos x="0" y="0"/>
                <wp:positionH relativeFrom="margin">
                  <wp:posOffset>2914106</wp:posOffset>
                </wp:positionH>
                <wp:positionV relativeFrom="paragraph">
                  <wp:posOffset>-115026</wp:posOffset>
                </wp:positionV>
                <wp:extent cx="0" cy="93154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931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_x0020_Connector_x0020_7" o:spid="_x0000_s1027" style="mso-height-percent:0;mso-height-relative:margin;mso-position-horizontal-relative:margin;mso-width-percent:0;mso-width-relative:margin;mso-wrap-distance-bottom:0;mso-wrap-distance-left:9pt;mso-wrap-distance-right:9pt;mso-wrap-distance-top:0;mso-wrap-style:square;position:absolute;visibility:visible;z-index:251659264" from="229.45pt,-9pt" to="229.45pt,724.5pt" strokecolor="#f09415">
                <w10:wrap anchorx="margin"/>
              </v:line>
            </w:pict>
          </mc:Fallback>
        </mc:AlternateContent>
      </w:r>
      <w:r w:rsidRPr="00FE1743">
        <w:rPr>
          <w:rFonts w:ascii="Cambria" w:eastAsia="Times New Roman" w:hAnsi="Cambria" w:cs="Tahoma"/>
          <w:b/>
          <w:color w:val="FFFFFF" w:themeColor="background1"/>
          <w:sz w:val="40"/>
          <w:szCs w:val="32"/>
          <w:lang w:val="en-US"/>
          <w14:shadow w14:blurRad="50800" w14:dist="38100" w14:dir="5400000" w14:sx="100000" w14:sy="100000" w14:kx="0" w14:ky="0" w14:algn="t">
            <w14:srgbClr w14:val="000000">
              <w14:alpha w14:val="60000"/>
            </w14:srgbClr>
          </w14:shadow>
        </w:rPr>
        <w:t>2018</w:t>
      </w:r>
    </w:p>
    <w:p w14:paraId="069C14B0" w14:textId="77777777" w:rsidR="00707D16" w:rsidRPr="00A0755D" w:rsidRDefault="00A03B79" w:rsidP="00707D16">
      <w:pPr>
        <w:spacing w:before="100" w:after="0" w:line="240" w:lineRule="auto"/>
        <w:jc w:val="both"/>
        <w:rPr>
          <w:rFonts w:ascii="Cambria" w:eastAsia="Trebuchet MS" w:hAnsi="Cambria" w:cs="Tahoma"/>
          <w:b/>
          <w:i/>
          <w:color w:val="000000"/>
          <w:sz w:val="26"/>
          <w:lang w:val="en-US"/>
        </w:rPr>
      </w:pPr>
      <w:r w:rsidRPr="00A0755D">
        <w:rPr>
          <w:rFonts w:ascii="Cambria" w:eastAsia="Trebuchet MS" w:hAnsi="Cambria" w:cs="Tahoma"/>
          <w:b/>
          <w:i/>
          <w:color w:val="000000"/>
          <w:sz w:val="26"/>
          <w:lang w:val="en-US"/>
        </w:rPr>
        <w:t>Lee (Respondent) v Ashers Baking Company</w:t>
      </w:r>
    </w:p>
    <w:p w14:paraId="2CD24BCD" w14:textId="77777777" w:rsidR="006B5D9C" w:rsidRDefault="00A03B79" w:rsidP="00707D16">
      <w:pPr>
        <w:spacing w:before="100" w:after="0" w:line="240" w:lineRule="auto"/>
        <w:jc w:val="both"/>
        <w:rPr>
          <w:rFonts w:ascii="Cambria" w:eastAsia="Trebuchet MS" w:hAnsi="Cambria" w:cs="Tahoma"/>
          <w:color w:val="000000"/>
          <w:sz w:val="26"/>
        </w:rPr>
      </w:pPr>
      <w:r w:rsidRPr="000B0994">
        <w:rPr>
          <w:rFonts w:ascii="Cambria" w:eastAsia="Trebuchet MS" w:hAnsi="Cambria" w:cs="Tahoma"/>
          <w:color w:val="000000"/>
          <w:sz w:val="26"/>
          <w:lang w:val="en-US"/>
        </w:rPr>
        <w:t xml:space="preserve">The Supreme Court held that a North Ireland Bakery that refused to make a cake </w:t>
      </w:r>
      <w:r w:rsidR="00FF6B27" w:rsidRPr="000B0994">
        <w:rPr>
          <w:rFonts w:ascii="Cambria" w:eastAsia="Trebuchet MS" w:hAnsi="Cambria" w:cs="Tahoma"/>
          <w:color w:val="000000"/>
          <w:sz w:val="26"/>
          <w:lang w:val="en-US"/>
        </w:rPr>
        <w:t>in honour of the International Day of Homophobia did not discriminate. Baroness Hale held, “</w:t>
      </w:r>
      <w:r w:rsidR="00FF6B27" w:rsidRPr="000B0994">
        <w:rPr>
          <w:rFonts w:ascii="Cambria" w:eastAsia="Trebuchet MS" w:hAnsi="Cambria" w:cs="Tahoma"/>
          <w:color w:val="000000"/>
          <w:sz w:val="26"/>
        </w:rPr>
        <w:t xml:space="preserve"> The bakers could not refuse to supply their goods to Mr Lee because he was a gay man or supported gay marriage, but that is quite different from obliging them to supply a cake iced with a message with which they profoundly disagreed." </w:t>
      </w:r>
    </w:p>
    <w:p w14:paraId="1AB2C33A" w14:textId="77777777" w:rsidR="00E54DE0" w:rsidRDefault="00E54DE0" w:rsidP="00707D16">
      <w:pPr>
        <w:spacing w:before="100" w:after="0" w:line="240" w:lineRule="auto"/>
        <w:jc w:val="both"/>
        <w:rPr>
          <w:rFonts w:ascii="Cambria" w:eastAsia="Trebuchet MS" w:hAnsi="Cambria" w:cs="Tahoma"/>
          <w:color w:val="000000"/>
          <w:sz w:val="26"/>
        </w:rPr>
      </w:pPr>
    </w:p>
    <w:p w14:paraId="56F8540C" w14:textId="77777777" w:rsidR="00E54DE0" w:rsidRDefault="00E54DE0" w:rsidP="00707D16">
      <w:pPr>
        <w:spacing w:before="100" w:after="0" w:line="240" w:lineRule="auto"/>
        <w:jc w:val="both"/>
        <w:rPr>
          <w:rFonts w:ascii="Cambria" w:eastAsia="Trebuchet MS" w:hAnsi="Cambria" w:cs="Tahoma"/>
          <w:color w:val="000000"/>
          <w:sz w:val="26"/>
        </w:rPr>
      </w:pPr>
    </w:p>
    <w:p w14:paraId="0FBD313F" w14:textId="77777777" w:rsidR="00E54DE0" w:rsidRDefault="00E54DE0" w:rsidP="00707D16">
      <w:pPr>
        <w:spacing w:before="100" w:after="0" w:line="240" w:lineRule="auto"/>
        <w:jc w:val="both"/>
        <w:rPr>
          <w:rFonts w:ascii="Cambria" w:eastAsia="Trebuchet MS" w:hAnsi="Cambria" w:cs="Tahoma"/>
          <w:color w:val="000000"/>
          <w:sz w:val="26"/>
        </w:rPr>
      </w:pPr>
    </w:p>
    <w:p w14:paraId="6816EC0A" w14:textId="77777777" w:rsidR="00E54DE0" w:rsidRPr="000B0994" w:rsidRDefault="00A03B79" w:rsidP="00707D16">
      <w:pPr>
        <w:spacing w:before="100" w:after="0" w:line="240" w:lineRule="auto"/>
        <w:jc w:val="both"/>
        <w:rPr>
          <w:rFonts w:ascii="Cambria" w:eastAsia="Trebuchet MS" w:hAnsi="Cambria" w:cs="Tahoma"/>
          <w:color w:val="000000"/>
          <w:sz w:val="26"/>
          <w:lang w:val="en-US"/>
        </w:rPr>
      </w:pPr>
      <w:r w:rsidRPr="000B0994">
        <w:rPr>
          <w:rFonts w:ascii="Cambria" w:eastAsia="Trebuchet MS" w:hAnsi="Cambria" w:cs="Tahoma"/>
          <w:noProof/>
          <w:color w:val="9D360E" w:themeColor="text2"/>
          <w:sz w:val="56"/>
          <w:lang w:val="en-US"/>
        </w:rPr>
        <w:drawing>
          <wp:inline distT="0" distB="0" distL="0" distR="0" wp14:anchorId="6ED67F43" wp14:editId="35DD3184">
            <wp:extent cx="3017792" cy="1066095"/>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09674" name="Copy of social media logo.jpg"/>
                    <pic:cNvPicPr/>
                  </pic:nvPicPr>
                  <pic:blipFill>
                    <a:blip r:embed="rId6">
                      <a:extLst>
                        <a:ext uri="{28A0092B-C50C-407E-A947-70E740481C1C}">
                          <a14:useLocalDpi xmlns:a14="http://schemas.microsoft.com/office/drawing/2010/main" val="0"/>
                        </a:ext>
                      </a:extLst>
                    </a:blip>
                    <a:srcRect b="59880"/>
                    <a:stretch>
                      <a:fillRect/>
                    </a:stretch>
                  </pic:blipFill>
                  <pic:spPr bwMode="auto">
                    <a:xfrm>
                      <a:off x="0" y="0"/>
                      <a:ext cx="3072816" cy="1085533"/>
                    </a:xfrm>
                    <a:prstGeom prst="rect">
                      <a:avLst/>
                    </a:prstGeom>
                    <a:ln>
                      <a:noFill/>
                    </a:ln>
                    <a:extLst>
                      <a:ext uri="{53640926-AAD7-44D8-BBD7-CCE9431645EC}">
                        <a14:shadowObscured xmlns:a14="http://schemas.microsoft.com/office/drawing/2010/main"/>
                      </a:ext>
                    </a:extLst>
                  </pic:spPr>
                </pic:pic>
              </a:graphicData>
            </a:graphic>
          </wp:inline>
        </w:drawing>
      </w:r>
    </w:p>
    <w:p w14:paraId="526A37A3" w14:textId="77777777" w:rsidR="00707D16" w:rsidRPr="000B0994" w:rsidRDefault="00707D16">
      <w:pPr>
        <w:rPr>
          <w:rFonts w:ascii="Cambria" w:hAnsi="Cambria" w:cs="Tahoma"/>
        </w:rPr>
      </w:pPr>
    </w:p>
    <w:p w14:paraId="4FE559A8" w14:textId="77777777" w:rsidR="00116AF2" w:rsidRPr="000B0994" w:rsidRDefault="00116AF2">
      <w:pPr>
        <w:rPr>
          <w:rFonts w:ascii="Cambria" w:hAnsi="Cambria" w:cs="Tahoma"/>
        </w:rPr>
      </w:pPr>
    </w:p>
    <w:sectPr w:rsidR="00116AF2" w:rsidRPr="000B0994" w:rsidSect="00707D16">
      <w:head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D441" w14:textId="77777777" w:rsidR="0076137A" w:rsidRDefault="0076137A">
      <w:pPr>
        <w:spacing w:after="0" w:line="240" w:lineRule="auto"/>
      </w:pPr>
      <w:r>
        <w:separator/>
      </w:r>
    </w:p>
  </w:endnote>
  <w:endnote w:type="continuationSeparator" w:id="0">
    <w:p w14:paraId="711664CE" w14:textId="77777777" w:rsidR="0076137A" w:rsidRDefault="0076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auto"/>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B1CE" w14:textId="77777777" w:rsidR="0076137A" w:rsidRDefault="0076137A">
      <w:pPr>
        <w:spacing w:after="0" w:line="240" w:lineRule="auto"/>
      </w:pPr>
      <w:r>
        <w:separator/>
      </w:r>
    </w:p>
  </w:footnote>
  <w:footnote w:type="continuationSeparator" w:id="0">
    <w:p w14:paraId="0E680297" w14:textId="77777777" w:rsidR="0076137A" w:rsidRDefault="0076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D2AB" w14:textId="77777777" w:rsidR="00A03B79" w:rsidRPr="00E54DE0" w:rsidRDefault="00A03B79">
    <w:pPr>
      <w:pStyle w:val="Header"/>
      <w:rPr>
        <w:rFonts w:ascii="Cambria" w:hAnsi="Cambria"/>
        <w:lang w:val="en-US"/>
      </w:rPr>
    </w:pPr>
    <w:r w:rsidRPr="00E54DE0">
      <w:rPr>
        <w:rFonts w:ascii="Cambria" w:hAnsi="Cambria" w:cs="Helvetica"/>
        <w:noProof/>
        <w:sz w:val="24"/>
        <w:szCs w:val="24"/>
        <w:lang w:val="en-US"/>
      </w:rPr>
      <w:drawing>
        <wp:anchor distT="0" distB="0" distL="114300" distR="114300" simplePos="0" relativeHeight="251658240" behindDoc="0" locked="0" layoutInCell="1" allowOverlap="1" wp14:anchorId="2C90C6B0" wp14:editId="492317AB">
          <wp:simplePos x="0" y="0"/>
          <wp:positionH relativeFrom="column">
            <wp:posOffset>5191941</wp:posOffset>
          </wp:positionH>
          <wp:positionV relativeFrom="paragraph">
            <wp:posOffset>-103596</wp:posOffset>
          </wp:positionV>
          <wp:extent cx="592909" cy="3657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8526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909" cy="3657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DE0">
      <w:rPr>
        <w:rFonts w:ascii="Cambria" w:hAnsi="Cambria"/>
        <w:lang w:val="en-US"/>
      </w:rPr>
      <w:t>LGBT Rights in English Law: a brief history</w:t>
    </w:r>
  </w:p>
  <w:p w14:paraId="54ABC0BD" w14:textId="77777777" w:rsidR="00A03B79" w:rsidRPr="00E54DE0" w:rsidRDefault="00A03B79">
    <w:pPr>
      <w:pStyle w:val="Header"/>
      <w:rPr>
        <w:rFonts w:ascii="Cambria" w:hAnsi="Cambria"/>
        <w:lang w:val="en-US"/>
      </w:rPr>
    </w:pPr>
    <w:r w:rsidRPr="00E54DE0">
      <w:rPr>
        <w:rFonts w:ascii="Cambria" w:hAnsi="Cambria"/>
        <w:lang w:val="en-US"/>
      </w:rPr>
      <w:t>LGBT History Month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16"/>
    <w:rsid w:val="00015DC5"/>
    <w:rsid w:val="0009530B"/>
    <w:rsid w:val="000A6B44"/>
    <w:rsid w:val="000B0994"/>
    <w:rsid w:val="000D48E4"/>
    <w:rsid w:val="000E1BCF"/>
    <w:rsid w:val="00116AF2"/>
    <w:rsid w:val="00155E78"/>
    <w:rsid w:val="00182F08"/>
    <w:rsid w:val="001A4F48"/>
    <w:rsid w:val="001C01A8"/>
    <w:rsid w:val="001D771A"/>
    <w:rsid w:val="0021214A"/>
    <w:rsid w:val="002804C7"/>
    <w:rsid w:val="002F1995"/>
    <w:rsid w:val="002F6978"/>
    <w:rsid w:val="00325A7C"/>
    <w:rsid w:val="00326610"/>
    <w:rsid w:val="00390BE4"/>
    <w:rsid w:val="003C13A4"/>
    <w:rsid w:val="004027B9"/>
    <w:rsid w:val="00472BB6"/>
    <w:rsid w:val="00500C74"/>
    <w:rsid w:val="00562BD4"/>
    <w:rsid w:val="00584FD1"/>
    <w:rsid w:val="00590E66"/>
    <w:rsid w:val="005A7684"/>
    <w:rsid w:val="005C31C1"/>
    <w:rsid w:val="00603914"/>
    <w:rsid w:val="0062767B"/>
    <w:rsid w:val="006443BB"/>
    <w:rsid w:val="006A54EE"/>
    <w:rsid w:val="006B5D9C"/>
    <w:rsid w:val="006E7055"/>
    <w:rsid w:val="00707D16"/>
    <w:rsid w:val="0076137A"/>
    <w:rsid w:val="00821709"/>
    <w:rsid w:val="0089211F"/>
    <w:rsid w:val="0089662D"/>
    <w:rsid w:val="008A798A"/>
    <w:rsid w:val="00940FA8"/>
    <w:rsid w:val="009D7B42"/>
    <w:rsid w:val="009F19BF"/>
    <w:rsid w:val="00A03B79"/>
    <w:rsid w:val="00A0755D"/>
    <w:rsid w:val="00A63B3B"/>
    <w:rsid w:val="00AD229F"/>
    <w:rsid w:val="00B76804"/>
    <w:rsid w:val="00B84555"/>
    <w:rsid w:val="00C5391E"/>
    <w:rsid w:val="00C56C20"/>
    <w:rsid w:val="00CB2199"/>
    <w:rsid w:val="00CB3082"/>
    <w:rsid w:val="00CC4D25"/>
    <w:rsid w:val="00CC62AF"/>
    <w:rsid w:val="00D41795"/>
    <w:rsid w:val="00D45A42"/>
    <w:rsid w:val="00D7733C"/>
    <w:rsid w:val="00DB3F15"/>
    <w:rsid w:val="00E52D2A"/>
    <w:rsid w:val="00E54DE0"/>
    <w:rsid w:val="00E66633"/>
    <w:rsid w:val="00E80B6D"/>
    <w:rsid w:val="00E835D1"/>
    <w:rsid w:val="00E91E62"/>
    <w:rsid w:val="00ED30DC"/>
    <w:rsid w:val="00FE1743"/>
    <w:rsid w:val="00FF1C9B"/>
    <w:rsid w:val="00FF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C4A1"/>
  <w15:chartTrackingRefBased/>
  <w15:docId w15:val="{D49E0F16-BB11-4383-9F8D-985D7EFE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16"/>
  </w:style>
  <w:style w:type="paragraph" w:styleId="Heading1">
    <w:name w:val="heading 1"/>
    <w:basedOn w:val="Normal"/>
    <w:next w:val="Normal"/>
    <w:link w:val="Heading1Char"/>
    <w:uiPriority w:val="9"/>
    <w:qFormat/>
    <w:rsid w:val="00707D16"/>
    <w:pPr>
      <w:keepNext/>
      <w:keepLines/>
      <w:pBdr>
        <w:bottom w:val="single" w:sz="4" w:space="1" w:color="F09415" w:themeColor="accent1"/>
      </w:pBdr>
      <w:spacing w:before="400" w:after="40" w:line="240" w:lineRule="auto"/>
      <w:outlineLvl w:val="0"/>
    </w:pPr>
    <w:rPr>
      <w:rFonts w:asciiTheme="majorHAnsi" w:eastAsiaTheme="majorEastAsia" w:hAnsiTheme="majorHAnsi" w:cstheme="majorBidi"/>
      <w:color w:val="B76E0B" w:themeColor="accent1" w:themeShade="BF"/>
      <w:sz w:val="36"/>
      <w:szCs w:val="36"/>
    </w:rPr>
  </w:style>
  <w:style w:type="paragraph" w:styleId="Heading2">
    <w:name w:val="heading 2"/>
    <w:basedOn w:val="Normal"/>
    <w:next w:val="Normal"/>
    <w:link w:val="Heading2Char"/>
    <w:uiPriority w:val="9"/>
    <w:semiHidden/>
    <w:unhideWhenUsed/>
    <w:qFormat/>
    <w:rsid w:val="00707D16"/>
    <w:pPr>
      <w:keepNext/>
      <w:keepLines/>
      <w:spacing w:before="160" w:after="0" w:line="240" w:lineRule="auto"/>
      <w:outlineLvl w:val="1"/>
    </w:pPr>
    <w:rPr>
      <w:rFonts w:asciiTheme="majorHAnsi" w:eastAsiaTheme="majorEastAsia" w:hAnsiTheme="majorHAnsi" w:cstheme="majorBidi"/>
      <w:color w:val="B76E0B" w:themeColor="accent1" w:themeShade="BF"/>
      <w:sz w:val="28"/>
      <w:szCs w:val="28"/>
    </w:rPr>
  </w:style>
  <w:style w:type="paragraph" w:styleId="Heading3">
    <w:name w:val="heading 3"/>
    <w:basedOn w:val="Normal"/>
    <w:next w:val="Normal"/>
    <w:link w:val="Heading3Char"/>
    <w:uiPriority w:val="9"/>
    <w:semiHidden/>
    <w:unhideWhenUsed/>
    <w:qFormat/>
    <w:rsid w:val="00707D1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07D1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07D1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07D1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07D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07D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07D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D16"/>
    <w:rPr>
      <w:rFonts w:asciiTheme="majorHAnsi" w:eastAsiaTheme="majorEastAsia" w:hAnsiTheme="majorHAnsi" w:cstheme="majorBidi"/>
      <w:color w:val="B76E0B" w:themeColor="accent1" w:themeShade="BF"/>
      <w:sz w:val="36"/>
      <w:szCs w:val="36"/>
    </w:rPr>
  </w:style>
  <w:style w:type="character" w:customStyle="1" w:styleId="Heading2Char">
    <w:name w:val="Heading 2 Char"/>
    <w:basedOn w:val="DefaultParagraphFont"/>
    <w:link w:val="Heading2"/>
    <w:uiPriority w:val="9"/>
    <w:semiHidden/>
    <w:rsid w:val="00707D16"/>
    <w:rPr>
      <w:rFonts w:asciiTheme="majorHAnsi" w:eastAsiaTheme="majorEastAsia" w:hAnsiTheme="majorHAnsi" w:cstheme="majorBidi"/>
      <w:color w:val="B76E0B" w:themeColor="accent1" w:themeShade="BF"/>
      <w:sz w:val="28"/>
      <w:szCs w:val="28"/>
    </w:rPr>
  </w:style>
  <w:style w:type="character" w:customStyle="1" w:styleId="Heading3Char">
    <w:name w:val="Heading 3 Char"/>
    <w:basedOn w:val="DefaultParagraphFont"/>
    <w:link w:val="Heading3"/>
    <w:uiPriority w:val="9"/>
    <w:semiHidden/>
    <w:rsid w:val="00707D1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07D1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07D1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07D1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07D1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07D1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07D1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07D1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07D16"/>
    <w:pPr>
      <w:spacing w:after="0" w:line="240" w:lineRule="auto"/>
      <w:contextualSpacing/>
    </w:pPr>
    <w:rPr>
      <w:rFonts w:asciiTheme="majorHAnsi" w:eastAsiaTheme="majorEastAsia" w:hAnsiTheme="majorHAnsi" w:cstheme="majorBidi"/>
      <w:color w:val="B76E0B" w:themeColor="accent1" w:themeShade="BF"/>
      <w:spacing w:val="-7"/>
      <w:sz w:val="80"/>
      <w:szCs w:val="80"/>
    </w:rPr>
  </w:style>
  <w:style w:type="character" w:customStyle="1" w:styleId="TitleChar">
    <w:name w:val="Title Char"/>
    <w:basedOn w:val="DefaultParagraphFont"/>
    <w:link w:val="Title"/>
    <w:uiPriority w:val="10"/>
    <w:rsid w:val="00707D16"/>
    <w:rPr>
      <w:rFonts w:asciiTheme="majorHAnsi" w:eastAsiaTheme="majorEastAsia" w:hAnsiTheme="majorHAnsi" w:cstheme="majorBidi"/>
      <w:color w:val="B76E0B" w:themeColor="accent1" w:themeShade="BF"/>
      <w:spacing w:val="-7"/>
      <w:sz w:val="80"/>
      <w:szCs w:val="80"/>
    </w:rPr>
  </w:style>
  <w:style w:type="paragraph" w:styleId="Subtitle">
    <w:name w:val="Subtitle"/>
    <w:basedOn w:val="Normal"/>
    <w:next w:val="Normal"/>
    <w:link w:val="SubtitleChar"/>
    <w:uiPriority w:val="11"/>
    <w:qFormat/>
    <w:rsid w:val="00707D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07D1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07D16"/>
    <w:rPr>
      <w:b/>
      <w:bCs/>
    </w:rPr>
  </w:style>
  <w:style w:type="character" w:styleId="Emphasis">
    <w:name w:val="Emphasis"/>
    <w:basedOn w:val="DefaultParagraphFont"/>
    <w:uiPriority w:val="20"/>
    <w:qFormat/>
    <w:rsid w:val="00707D16"/>
    <w:rPr>
      <w:i/>
      <w:iCs/>
    </w:rPr>
  </w:style>
  <w:style w:type="paragraph" w:styleId="NoSpacing">
    <w:name w:val="No Spacing"/>
    <w:uiPriority w:val="1"/>
    <w:qFormat/>
    <w:rsid w:val="00707D16"/>
    <w:pPr>
      <w:spacing w:after="0" w:line="240" w:lineRule="auto"/>
    </w:pPr>
  </w:style>
  <w:style w:type="paragraph" w:styleId="Quote">
    <w:name w:val="Quote"/>
    <w:basedOn w:val="Normal"/>
    <w:next w:val="Normal"/>
    <w:link w:val="QuoteChar"/>
    <w:uiPriority w:val="29"/>
    <w:qFormat/>
    <w:rsid w:val="00707D1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07D16"/>
    <w:rPr>
      <w:i/>
      <w:iCs/>
    </w:rPr>
  </w:style>
  <w:style w:type="paragraph" w:styleId="IntenseQuote">
    <w:name w:val="Intense Quote"/>
    <w:basedOn w:val="Normal"/>
    <w:next w:val="Normal"/>
    <w:link w:val="IntenseQuoteChar"/>
    <w:uiPriority w:val="30"/>
    <w:qFormat/>
    <w:rsid w:val="00707D16"/>
    <w:pPr>
      <w:spacing w:before="100" w:beforeAutospacing="1" w:after="240"/>
      <w:ind w:left="864" w:right="864"/>
      <w:jc w:val="center"/>
    </w:pPr>
    <w:rPr>
      <w:rFonts w:asciiTheme="majorHAnsi" w:eastAsiaTheme="majorEastAsia" w:hAnsiTheme="majorHAnsi" w:cstheme="majorBidi"/>
      <w:color w:val="F09415" w:themeColor="accent1"/>
      <w:sz w:val="28"/>
      <w:szCs w:val="28"/>
    </w:rPr>
  </w:style>
  <w:style w:type="character" w:customStyle="1" w:styleId="IntenseQuoteChar">
    <w:name w:val="Intense Quote Char"/>
    <w:basedOn w:val="DefaultParagraphFont"/>
    <w:link w:val="IntenseQuote"/>
    <w:uiPriority w:val="30"/>
    <w:rsid w:val="00707D16"/>
    <w:rPr>
      <w:rFonts w:asciiTheme="majorHAnsi" w:eastAsiaTheme="majorEastAsia" w:hAnsiTheme="majorHAnsi" w:cstheme="majorBidi"/>
      <w:color w:val="F09415" w:themeColor="accent1"/>
      <w:sz w:val="28"/>
      <w:szCs w:val="28"/>
    </w:rPr>
  </w:style>
  <w:style w:type="character" w:styleId="SubtleEmphasis">
    <w:name w:val="Subtle Emphasis"/>
    <w:basedOn w:val="DefaultParagraphFont"/>
    <w:uiPriority w:val="19"/>
    <w:qFormat/>
    <w:rsid w:val="00707D16"/>
    <w:rPr>
      <w:i/>
      <w:iCs/>
      <w:color w:val="595959" w:themeColor="text1" w:themeTint="A6"/>
    </w:rPr>
  </w:style>
  <w:style w:type="character" w:styleId="IntenseEmphasis">
    <w:name w:val="Intense Emphasis"/>
    <w:basedOn w:val="DefaultParagraphFont"/>
    <w:uiPriority w:val="21"/>
    <w:qFormat/>
    <w:rsid w:val="00707D16"/>
    <w:rPr>
      <w:b/>
      <w:bCs/>
      <w:i/>
      <w:iCs/>
    </w:rPr>
  </w:style>
  <w:style w:type="character" w:styleId="SubtleReference">
    <w:name w:val="Subtle Reference"/>
    <w:basedOn w:val="DefaultParagraphFont"/>
    <w:uiPriority w:val="31"/>
    <w:qFormat/>
    <w:rsid w:val="00707D16"/>
    <w:rPr>
      <w:smallCaps/>
      <w:color w:val="404040" w:themeColor="text1" w:themeTint="BF"/>
    </w:rPr>
  </w:style>
  <w:style w:type="character" w:styleId="IntenseReference">
    <w:name w:val="Intense Reference"/>
    <w:basedOn w:val="DefaultParagraphFont"/>
    <w:uiPriority w:val="32"/>
    <w:qFormat/>
    <w:rsid w:val="00707D16"/>
    <w:rPr>
      <w:b/>
      <w:bCs/>
      <w:smallCaps/>
      <w:u w:val="single"/>
    </w:rPr>
  </w:style>
  <w:style w:type="character" w:styleId="BookTitle">
    <w:name w:val="Book Title"/>
    <w:basedOn w:val="DefaultParagraphFont"/>
    <w:uiPriority w:val="33"/>
    <w:qFormat/>
    <w:rsid w:val="00707D16"/>
    <w:rPr>
      <w:b/>
      <w:bCs/>
      <w:smallCaps/>
    </w:rPr>
  </w:style>
  <w:style w:type="paragraph" w:styleId="TOCHeading">
    <w:name w:val="TOC Heading"/>
    <w:basedOn w:val="Heading1"/>
    <w:next w:val="Normal"/>
    <w:uiPriority w:val="39"/>
    <w:semiHidden/>
    <w:unhideWhenUsed/>
    <w:qFormat/>
    <w:rsid w:val="00707D16"/>
    <w:pPr>
      <w:outlineLvl w:val="9"/>
    </w:pPr>
  </w:style>
  <w:style w:type="paragraph" w:styleId="Header">
    <w:name w:val="header"/>
    <w:basedOn w:val="Normal"/>
    <w:link w:val="HeaderChar"/>
    <w:uiPriority w:val="99"/>
    <w:unhideWhenUsed/>
    <w:rsid w:val="00E5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E0"/>
  </w:style>
  <w:style w:type="paragraph" w:styleId="Footer">
    <w:name w:val="footer"/>
    <w:basedOn w:val="Normal"/>
    <w:link w:val="FooterChar"/>
    <w:uiPriority w:val="99"/>
    <w:unhideWhenUsed/>
    <w:rsid w:val="00E5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Caines</dc:creator>
  <cp:lastModifiedBy>Ariana Caines</cp:lastModifiedBy>
  <cp:revision>7</cp:revision>
  <dcterms:created xsi:type="dcterms:W3CDTF">2019-02-27T16:24:00Z</dcterms:created>
  <dcterms:modified xsi:type="dcterms:W3CDTF">2019-02-27T16:50:00Z</dcterms:modified>
</cp:coreProperties>
</file>